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Schůze výboru VK Bohemians Praha 0</w:t>
      </w:r>
      <w:r>
        <w:rPr>
          <w:b/>
          <w:bCs/>
          <w:sz w:val="28"/>
          <w:szCs w:val="28"/>
        </w:rPr>
        <w:t xml:space="preserve">3</w:t>
      </w:r>
      <w:r>
        <w:rPr>
          <w:b/>
          <w:bCs/>
          <w:sz w:val="28"/>
          <w:szCs w:val="28"/>
        </w:rPr>
        <w:t xml:space="preserve">. 1</w:t>
      </w:r>
      <w:r>
        <w:rPr>
          <w:b/>
          <w:bCs/>
          <w:sz w:val="28"/>
          <w:szCs w:val="28"/>
        </w:rPr>
        <w:t xml:space="preserve">2</w:t>
      </w:r>
      <w:r>
        <w:rPr>
          <w:b/>
          <w:bCs/>
          <w:sz w:val="28"/>
          <w:szCs w:val="28"/>
        </w:rPr>
        <w:t xml:space="preserve">. 2025</w:t>
      </w:r>
      <w:r>
        <w:rPr>
          <w:b/>
          <w:bCs/>
          <w:sz w:val="28"/>
          <w:szCs w:val="28"/>
        </w:rPr>
        <w:br/>
        <w:t xml:space="preserve">Zápis</w:t>
      </w:r>
      <w:r>
        <w:rPr>
          <w:b/>
          <w:bCs/>
          <w:sz w:val="28"/>
          <w:szCs w:val="28"/>
        </w:rPr>
      </w:r>
    </w:p>
    <w:p>
      <w:pPr>
        <w:pBdr/>
        <w:spacing w:after="0"/>
        <w:ind w:hanging="1410" w:left="14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Přítomni: </w:t>
      </w:r>
      <w:r>
        <w:rPr>
          <w:b/>
          <w:bCs/>
          <w:sz w:val="24"/>
          <w:szCs w:val="24"/>
        </w:rPr>
        <w:tab/>
        <w:t xml:space="preserve">Jiří Ryšavý,  Jan </w:t>
      </w:r>
      <w:r>
        <w:rPr>
          <w:b/>
          <w:bCs/>
          <w:sz w:val="24"/>
          <w:szCs w:val="24"/>
        </w:rPr>
        <w:t xml:space="preserve">Hintnaus</w:t>
      </w:r>
      <w:r>
        <w:rPr>
          <w:b/>
          <w:bCs/>
          <w:sz w:val="24"/>
          <w:szCs w:val="24"/>
        </w:rPr>
        <w:t xml:space="preserve">, Petr </w:t>
      </w:r>
      <w:r>
        <w:rPr>
          <w:b/>
          <w:bCs/>
          <w:sz w:val="24"/>
          <w:szCs w:val="24"/>
        </w:rPr>
        <w:t xml:space="preserve">Lesse</w:t>
      </w:r>
      <w:r>
        <w:rPr>
          <w:b/>
          <w:bCs/>
          <w:sz w:val="24"/>
          <w:szCs w:val="24"/>
        </w:rPr>
        <w:t xml:space="preserve">, Petr </w:t>
      </w:r>
      <w:r>
        <w:rPr>
          <w:b/>
          <w:bCs/>
          <w:sz w:val="24"/>
          <w:szCs w:val="24"/>
        </w:rPr>
        <w:t xml:space="preserve">Šveňha</w:t>
      </w:r>
      <w:r>
        <w:rPr>
          <w:b/>
          <w:bCs/>
          <w:sz w:val="24"/>
          <w:szCs w:val="24"/>
        </w:rPr>
      </w:r>
    </w:p>
    <w:p>
      <w:pPr>
        <w:pBdr/>
        <w:spacing w:after="0"/>
        <w:ind w:left="14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Petr Škvor, Klára Plichtová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Lubomír Šembera</w:t>
      </w:r>
      <w:r>
        <w:rPr>
          <w:b/>
          <w:bCs/>
          <w:sz w:val="24"/>
          <w:szCs w:val="24"/>
        </w:rPr>
      </w:r>
    </w:p>
    <w:p>
      <w:pPr>
        <w:pBdr/>
        <w:spacing w:after="0"/>
        <w:ind w:firstLine="708" w:left="70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after="0"/>
        <w:ind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Probírané body:</w:t>
      </w:r>
      <w:r>
        <w:rPr>
          <w:b/>
          <w:sz w:val="24"/>
          <w:szCs w:val="24"/>
        </w:rPr>
      </w:r>
    </w:p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Rozbor režijních nákladů, nákladů na chod klubu a výnosů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pro stanovení členských příspěvků VK Bohemians na rok 2026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Účel rozboru</w:t>
      </w:r>
      <w:r>
        <w:rPr>
          <w:b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Cílem rozboru je transparentně vyh</w:t>
      </w:r>
      <w:r>
        <w:rPr>
          <w:bCs/>
          <w:sz w:val="24"/>
          <w:szCs w:val="24"/>
        </w:rPr>
        <w:t xml:space="preserve">odnotit režijní náklady, provozní náklady a výnosy veslařského klubu VK Bohemians a na jejich základě stanovit odpovídající výši členských příspěvků pro kalendářní rok 2026, tak aby byl zajištěn stabilní a udržitelný chod klubu a rozvoj sportovní činnosti.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Režijní náklady klubu</w:t>
      </w:r>
      <w:r>
        <w:rPr>
          <w:b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Režijní náklady představují výdaje nutné k administrativnímu a organizačnímu zajištění chodu klubu, bez přímé vazby na jednotlivé sportovní výkony.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Mezi hlavní položky patří zejména: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29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nájem prostor TJ Bohemians VK Bohemians</w:t>
      </w:r>
      <w:r>
        <w:rPr>
          <w:bCs/>
          <w:sz w:val="24"/>
          <w:szCs w:val="24"/>
        </w:rPr>
      </w:r>
    </w:p>
    <w:p>
      <w:pPr>
        <w:numPr>
          <w:ilvl w:val="0"/>
          <w:numId w:val="29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služby účetní</w:t>
      </w:r>
      <w:r>
        <w:rPr>
          <w:bCs/>
          <w:sz w:val="24"/>
          <w:szCs w:val="24"/>
        </w:rPr>
      </w:r>
    </w:p>
    <w:p>
      <w:pPr>
        <w:numPr>
          <w:ilvl w:val="0"/>
          <w:numId w:val="29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drobný provozní materiál a služby</w:t>
      </w:r>
      <w:r>
        <w:rPr>
          <w:bCs/>
          <w:sz w:val="24"/>
          <w:szCs w:val="24"/>
        </w:rPr>
      </w:r>
    </w:p>
    <w:p>
      <w:pPr>
        <w:numPr>
          <w:ilvl w:val="0"/>
          <w:numId w:val="29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energie (elektřina, voda, plyn),</w:t>
      </w:r>
      <w:r>
        <w:rPr>
          <w:bCs/>
          <w:sz w:val="24"/>
          <w:szCs w:val="24"/>
        </w:rPr>
      </w:r>
    </w:p>
    <w:p>
      <w:pPr>
        <w:numPr>
          <w:ilvl w:val="0"/>
          <w:numId w:val="29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údržba budov, loděnice a přilehlých prostor,</w:t>
      </w:r>
      <w:r>
        <w:rPr>
          <w:bCs/>
          <w:sz w:val="24"/>
          <w:szCs w:val="24"/>
        </w:rPr>
      </w:r>
    </w:p>
    <w:p>
      <w:pPr>
        <w:numPr>
          <w:ilvl w:val="0"/>
          <w:numId w:val="29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revize technických zařízení,</w:t>
      </w:r>
      <w:r>
        <w:rPr>
          <w:bCs/>
          <w:sz w:val="24"/>
          <w:szCs w:val="24"/>
        </w:rPr>
      </w:r>
    </w:p>
    <w:p>
      <w:pPr>
        <w:numPr>
          <w:ilvl w:val="0"/>
          <w:numId w:val="29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úklidové a servisní práce.</w:t>
      </w:r>
      <w:r>
        <w:rPr>
          <w:bCs/>
          <w:sz w:val="24"/>
          <w:szCs w:val="24"/>
        </w:rPr>
      </w:r>
    </w:p>
    <w:p>
      <w:pPr>
        <w:pBdr/>
        <w:spacing w:after="0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Tyto náklady jsou fixní povahy a vznikají bez ohledu na počet členů či objem sportovní činnosti.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Náklady na chod klubu a sportovní činnost</w:t>
      </w:r>
      <w:r>
        <w:rPr>
          <w:b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Náklady přímo související s provozem klubu a sportovní činností tvoří největší část celkových výdajů.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3.1 Provozní náklady areálu a zázemí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30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opravy a údržba lodního parku,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 Sportovní činnost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31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pořízení, opravy a obnova lodí, vesel a dalšího sportovního vybavení,</w:t>
      </w:r>
      <w:r>
        <w:rPr>
          <w:bCs/>
          <w:sz w:val="24"/>
          <w:szCs w:val="24"/>
        </w:rPr>
      </w:r>
    </w:p>
    <w:p>
      <w:pPr>
        <w:numPr>
          <w:ilvl w:val="0"/>
          <w:numId w:val="31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náklady na tréninky a sportovní přípravu,</w:t>
      </w:r>
      <w:r>
        <w:rPr>
          <w:bCs/>
          <w:sz w:val="24"/>
          <w:szCs w:val="24"/>
        </w:rPr>
      </w:r>
    </w:p>
    <w:p>
      <w:pPr>
        <w:numPr>
          <w:ilvl w:val="0"/>
          <w:numId w:val="31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účast na závodech (startovné, doprava, ubytování),</w:t>
      </w:r>
      <w:r>
        <w:rPr>
          <w:bCs/>
          <w:sz w:val="24"/>
          <w:szCs w:val="24"/>
        </w:rPr>
      </w:r>
    </w:p>
    <w:p>
      <w:pPr>
        <w:numPr>
          <w:ilvl w:val="0"/>
          <w:numId w:val="31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náklady na trenérskou činnost a odborné vedení,</w:t>
      </w:r>
      <w:r>
        <w:rPr>
          <w:bCs/>
          <w:sz w:val="24"/>
          <w:szCs w:val="24"/>
        </w:rPr>
      </w:r>
    </w:p>
    <w:p>
      <w:pPr>
        <w:numPr>
          <w:ilvl w:val="0"/>
          <w:numId w:val="31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zajištění bezpečnosti sportovní činnosti.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3.3 Práce s mládeží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32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materiální zabezpečení mládežnických kategorií,</w:t>
      </w:r>
      <w:r>
        <w:rPr>
          <w:bCs/>
          <w:sz w:val="24"/>
          <w:szCs w:val="24"/>
        </w:rPr>
      </w:r>
    </w:p>
    <w:p>
      <w:pPr>
        <w:numPr>
          <w:ilvl w:val="0"/>
          <w:numId w:val="32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soustředění a závody mládeže,</w:t>
      </w:r>
      <w:r>
        <w:rPr>
          <w:bCs/>
          <w:sz w:val="24"/>
          <w:szCs w:val="24"/>
        </w:rPr>
      </w:r>
    </w:p>
    <w:p>
      <w:pPr>
        <w:numPr>
          <w:ilvl w:val="0"/>
          <w:numId w:val="32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vzdělávání trenérů a instruktorů,</w:t>
      </w:r>
      <w:r>
        <w:rPr>
          <w:bCs/>
          <w:sz w:val="24"/>
          <w:szCs w:val="24"/>
        </w:rPr>
      </w:r>
    </w:p>
    <w:p>
      <w:pPr>
        <w:numPr>
          <w:ilvl w:val="0"/>
          <w:numId w:val="32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podpora náborových aktivit.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Výnosy klubu</w:t>
      </w:r>
      <w:r>
        <w:rPr>
          <w:b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Výnosy klubu jsou tvořeny kombinací vlastních a externích zdrojů: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33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členské příspěvky (hlavní stabilní zdroj příjmů),</w:t>
      </w:r>
      <w:r>
        <w:rPr>
          <w:bCs/>
          <w:sz w:val="24"/>
          <w:szCs w:val="24"/>
        </w:rPr>
      </w:r>
    </w:p>
    <w:p>
      <w:pPr>
        <w:numPr>
          <w:ilvl w:val="0"/>
          <w:numId w:val="33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dotace a granty (město, MČ, MŠMT, ČUS apod.),</w:t>
      </w:r>
      <w:r>
        <w:rPr>
          <w:bCs/>
          <w:sz w:val="24"/>
          <w:szCs w:val="24"/>
        </w:rPr>
      </w:r>
    </w:p>
    <w:p>
      <w:pPr>
        <w:numPr>
          <w:ilvl w:val="0"/>
          <w:numId w:val="33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příspěvky sponzorů a partnerů,</w:t>
      </w:r>
      <w:r>
        <w:rPr>
          <w:bCs/>
          <w:sz w:val="24"/>
          <w:szCs w:val="24"/>
        </w:rPr>
      </w:r>
    </w:p>
    <w:p>
      <w:pPr>
        <w:numPr>
          <w:ilvl w:val="0"/>
          <w:numId w:val="33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příjmy z akcí pořádaných klubem,</w:t>
      </w:r>
      <w:r>
        <w:rPr>
          <w:bCs/>
          <w:sz w:val="24"/>
          <w:szCs w:val="24"/>
        </w:rPr>
      </w:r>
    </w:p>
    <w:p>
      <w:pPr>
        <w:numPr>
          <w:ilvl w:val="0"/>
          <w:numId w:val="33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případné příjmy z pronájmu majetku klubu.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Dotace a sponzorské příspěvky jsou nejisté a účelově vázané, nelze je proto považovat za dlouhodobě garantovaný zdroj financování běžného provozu.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Závěr a stanovení členských příspěvků pro rok 2026</w:t>
      </w:r>
      <w:r>
        <w:rPr>
          <w:b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základě provedeného rozboru je zřejmé, že: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34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provozní a režijní náklady klubu dlouhodobě rostou (energie, služby, materiál),</w:t>
      </w:r>
      <w:r>
        <w:rPr>
          <w:bCs/>
          <w:sz w:val="24"/>
          <w:szCs w:val="24"/>
        </w:rPr>
      </w:r>
    </w:p>
    <w:p>
      <w:pPr>
        <w:numPr>
          <w:ilvl w:val="0"/>
          <w:numId w:val="34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externí zdroje financování nepokrývají plně základní chod klubu,</w:t>
      </w:r>
      <w:r>
        <w:rPr>
          <w:bCs/>
          <w:sz w:val="24"/>
          <w:szCs w:val="24"/>
        </w:rPr>
      </w:r>
    </w:p>
    <w:p>
      <w:pPr>
        <w:numPr>
          <w:ilvl w:val="0"/>
          <w:numId w:val="34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členské příspěvky zůstávají klíčovým stabilním příjmem.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Výše členských příspěvků pro rok 2026 je proto stanovena tak, aby: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35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pokryla základní provozní a režijní náklady klubu,</w:t>
      </w:r>
      <w:r>
        <w:rPr>
          <w:bCs/>
          <w:sz w:val="24"/>
          <w:szCs w:val="24"/>
        </w:rPr>
      </w:r>
    </w:p>
    <w:p>
      <w:pPr>
        <w:numPr>
          <w:ilvl w:val="0"/>
          <w:numId w:val="35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umožnila zajištění sportovní činnosti ve všech kategoriích,</w:t>
      </w:r>
      <w:r>
        <w:rPr>
          <w:bCs/>
          <w:sz w:val="24"/>
          <w:szCs w:val="24"/>
        </w:rPr>
      </w:r>
    </w:p>
    <w:p>
      <w:pPr>
        <w:numPr>
          <w:ilvl w:val="0"/>
          <w:numId w:val="35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vytvořila finanční rezervu pro údržbu a obnovu majetku,</w:t>
      </w:r>
      <w:r>
        <w:rPr>
          <w:bCs/>
          <w:sz w:val="24"/>
          <w:szCs w:val="24"/>
        </w:rPr>
      </w:r>
    </w:p>
    <w:p>
      <w:pPr>
        <w:numPr>
          <w:ilvl w:val="0"/>
          <w:numId w:val="35"/>
        </w:num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zajistila dlouhodobou udržitelnost a rozvoj VK Bohemians.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Stanovení příspěvků reflektuje reálné náklady na jednoho člena a zároveň zachovává dostupnost sportu pro mládež.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Doporučení výboru</w:t>
      </w:r>
      <w:r>
        <w:rPr>
          <w:b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Výbor VK Bohemians doporučuje schválit navrženou výši členských příspěvků pro rok 2026 jako nezbytný krok k zajištění stabilního a bezpečného fungování klubu.</w:t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 w:after="0"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 w:after="0"/>
        <w:ind/>
        <w:rPr>
          <w:bCs/>
        </w:rPr>
      </w:pPr>
      <w:r>
        <w:rPr>
          <w:bCs/>
        </w:rPr>
        <w:t xml:space="preserve">Zapsal </w:t>
      </w:r>
      <w:r>
        <w:rPr>
          <w:bCs/>
        </w:rPr>
        <w:t xml:space="preserve">Lubomír Šembera</w:t>
      </w:r>
      <w:r>
        <w:rPr>
          <w:bCs/>
        </w:rPr>
      </w:r>
    </w:p>
    <w:p>
      <w:pPr>
        <w:pBdr/>
        <w:spacing w:after="0"/>
        <w:ind/>
        <w:rPr>
          <w:bCs/>
        </w:rPr>
      </w:pPr>
      <w:r>
        <w:rPr>
          <w:bCs/>
        </w:rPr>
      </w:r>
      <w:r>
        <w:rPr>
          <w:bCs/>
        </w:rPr>
      </w:r>
    </w:p>
    <w:p>
      <w:pPr>
        <w:pBdr/>
        <w:spacing w:after="0"/>
        <w:ind/>
        <w:rPr>
          <w:bCs/>
        </w:rPr>
      </w:pPr>
      <w:r>
        <w:rPr>
          <w:bCs/>
        </w:rPr>
        <w:t xml:space="preserve">Příští VK 0</w:t>
      </w:r>
      <w:r>
        <w:rPr>
          <w:bCs/>
        </w:rPr>
        <w:t xml:space="preserve">7</w:t>
      </w:r>
      <w:r>
        <w:rPr>
          <w:bCs/>
        </w:rPr>
        <w:t xml:space="preserve">.</w:t>
      </w:r>
      <w:r>
        <w:rPr>
          <w:bCs/>
        </w:rPr>
        <w:t xml:space="preserve">01</w:t>
      </w:r>
      <w:r>
        <w:rPr>
          <w:bCs/>
        </w:rPr>
        <w:t xml:space="preserve">.202</w:t>
      </w:r>
      <w:r>
        <w:rPr>
          <w:bCs/>
        </w:rPr>
        <w:t xml:space="preserve">6</w:t>
      </w:r>
      <w:r>
        <w:rPr>
          <w:bCs/>
        </w:rPr>
      </w:r>
    </w:p>
    <w:p>
      <w:pPr>
        <w:pBdr/>
        <w:spacing w:after="0"/>
        <w:ind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2515"/>
    <w:lvl w:ilvl="0">
      <w:isLgl w:val="false"/>
      <w:lvlJc w:val="left"/>
      <w:lvlText w:val=""/>
      <w:numFmt w:val="bullet"/>
      <w:pPr>
        <w:pBdr/>
        <w:spacing/>
        <w:ind w:hanging="360" w:left="157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hint="default" w:ascii="Wingdings" w:hAnsi="Wingdings"/>
      </w:rPr>
      <w:start w:val="1"/>
      <w:suff w:val="tab"/>
    </w:lvl>
  </w:abstractNum>
  <w:abstractNum w:abstractNumId="1">
    <w:nsid w:val="0AE10EF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CD91853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">
    <w:nsid w:val="0D2C755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nsid w:val="110C2CD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5645D8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192D03DA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Times New Roman" w:cs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nsid w:val="20284C98"/>
    <w:lvl w:ilvl="0">
      <w:isLgl w:val="false"/>
      <w:lvlJc w:val="left"/>
      <w:lvlText w:val="%1."/>
      <w:numFmt w:val="decimal"/>
      <w:pPr>
        <w:pBdr/>
        <w:spacing/>
        <w:ind w:hanging="360" w:left="15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66"/>
      </w:pPr>
      <w:rPr/>
      <w:start w:val="1"/>
      <w:suff w:val="tab"/>
    </w:lvl>
  </w:abstractNum>
  <w:abstractNum w:abstractNumId="8">
    <w:nsid w:val="20F33B06"/>
    <w:lvl w:ilvl="0">
      <w:isLgl w:val="false"/>
      <w:lvlJc w:val="left"/>
      <w:lvlText w:val="-"/>
      <w:numFmt w:val="bullet"/>
      <w:pPr>
        <w:pBdr/>
        <w:spacing/>
        <w:ind w:hanging="360" w:left="1146"/>
      </w:pPr>
      <w:rPr>
        <w:rFonts w:hint="default" w:ascii="Calibri" w:hAnsi="Calibri" w:eastAsia="Times New Roman" w:cs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9">
    <w:nsid w:val="27FD3FC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2838381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2AED116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">
    <w:nsid w:val="2B1927BC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2FC6738D"/>
    <w:lvl w:ilvl="0">
      <w:isLgl w:val="false"/>
      <w:lvlJc w:val="left"/>
      <w:lvlText w:val="%1."/>
      <w:numFmt w:val="decimal"/>
      <w:pPr>
        <w:pBdr/>
        <w:spacing/>
        <w:ind w:hanging="360" w:left="1506"/>
      </w:pPr>
      <w:rPr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4">
    <w:nsid w:val="305601A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nsid w:val="30A15EB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33FE485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7">
    <w:nsid w:val="368B38A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nsid w:val="3A1455E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9">
    <w:nsid w:val="3B160D04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b w:val="0"/>
        <w:bCs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20">
    <w:nsid w:val="3E9F2764"/>
    <w:lvl w:ilvl="0">
      <w:isLgl w:val="false"/>
      <w:lvlJc w:val="left"/>
      <w:lvlText w:val="%1."/>
      <w:numFmt w:val="decimal"/>
      <w:pPr>
        <w:pBdr/>
        <w:spacing/>
        <w:ind w:hanging="360" w:left="15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66"/>
      </w:pPr>
      <w:rPr/>
      <w:start w:val="1"/>
      <w:suff w:val="tab"/>
    </w:lvl>
  </w:abstractNum>
  <w:abstractNum w:abstractNumId="21">
    <w:nsid w:val="3F7825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nsid w:val="428C361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3">
    <w:nsid w:val="47A5405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47D02AB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nsid w:val="4C8979E2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nsid w:val="573719A3"/>
    <w:lvl w:ilvl="0">
      <w:isLgl w:val="false"/>
      <w:lvlJc w:val="left"/>
      <w:lvlText w:val="-"/>
      <w:numFmt w:val="bullet"/>
      <w:pPr>
        <w:pBdr/>
        <w:spacing/>
        <w:ind w:hanging="360" w:left="540"/>
      </w:pPr>
      <w:rPr>
        <w:rFonts w:ascii="Calibri" w:hAnsi="Calibri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7">
    <w:nsid w:val="582A1B4A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8">
    <w:nsid w:val="5A4842D9"/>
    <w:lvl w:ilvl="0">
      <w:isLgl w:val="false"/>
      <w:lvlJc w:val="left"/>
      <w:lvlText w:val=""/>
      <w:numFmt w:val="bullet"/>
      <w:pPr>
        <w:pBdr/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29">
    <w:nsid w:val="61973BAE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0">
    <w:nsid w:val="64FD08CC"/>
    <w:lvl w:ilvl="0">
      <w:isLgl w:val="false"/>
      <w:lvlJc w:val="left"/>
      <w:lvlText w:val="%1."/>
      <w:numFmt w:val="decimal"/>
      <w:pPr>
        <w:pBdr/>
        <w:spacing/>
        <w:ind w:hanging="360" w:left="15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66"/>
      </w:pPr>
      <w:rPr/>
      <w:start w:val="1"/>
      <w:suff w:val="tab"/>
    </w:lvl>
  </w:abstractNum>
  <w:abstractNum w:abstractNumId="31">
    <w:nsid w:val="65BB0FF3"/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2">
    <w:nsid w:val="6C44408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nsid w:val="749005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34">
    <w:nsid w:val="7E6413C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6"/>
  </w:num>
  <w:num w:numId="2">
    <w:abstractNumId w:val="6"/>
  </w:num>
  <w:num w:numId="3">
    <w:abstractNumId w:val="33"/>
  </w:num>
  <w:num w:numId="4">
    <w:abstractNumId w:val="16"/>
  </w:num>
  <w:num w:numId="5">
    <w:abstractNumId w:val="18"/>
  </w:num>
  <w:num w:numId="6">
    <w:abstractNumId w:val="17"/>
  </w:num>
  <w:num w:numId="7">
    <w:abstractNumId w:val="27"/>
  </w:num>
  <w:num w:numId="8">
    <w:abstractNumId w:val="28"/>
  </w:num>
  <w:num w:numId="9">
    <w:abstractNumId w:val="31"/>
  </w:num>
  <w:num w:numId="10">
    <w:abstractNumId w:val="2"/>
  </w:num>
  <w:num w:numId="11">
    <w:abstractNumId w:val="25"/>
  </w:num>
  <w:num w:numId="12">
    <w:abstractNumId w:val="0"/>
  </w:num>
  <w:num w:numId="13">
    <w:abstractNumId w:val="15"/>
  </w:num>
  <w:num w:numId="14">
    <w:abstractNumId w:val="23"/>
  </w:num>
  <w:num w:numId="15">
    <w:abstractNumId w:val="21"/>
  </w:num>
  <w:num w:numId="16">
    <w:abstractNumId w:val="34"/>
  </w:num>
  <w:num w:numId="17">
    <w:abstractNumId w:val="24"/>
  </w:num>
  <w:num w:numId="18">
    <w:abstractNumId w:val="4"/>
  </w:num>
  <w:num w:numId="19">
    <w:abstractNumId w:val="9"/>
  </w:num>
  <w:num w:numId="20">
    <w:abstractNumId w:val="12"/>
  </w:num>
  <w:num w:numId="21">
    <w:abstractNumId w:val="19"/>
  </w:num>
  <w:num w:numId="22">
    <w:abstractNumId w:val="7"/>
  </w:num>
  <w:num w:numId="23">
    <w:abstractNumId w:val="32"/>
  </w:num>
  <w:num w:numId="24">
    <w:abstractNumId w:val="20"/>
  </w:num>
  <w:num w:numId="25">
    <w:abstractNumId w:val="30"/>
  </w:num>
  <w:num w:numId="26">
    <w:abstractNumId w:val="13"/>
  </w:num>
  <w:num w:numId="27">
    <w:abstractNumId w:val="5"/>
  </w:num>
  <w:num w:numId="28">
    <w:abstractNumId w:val="8"/>
  </w:num>
  <w:num w:numId="29">
    <w:abstractNumId w:val="22"/>
  </w:num>
  <w:num w:numId="30">
    <w:abstractNumId w:val="10"/>
  </w:num>
  <w:num w:numId="31">
    <w:abstractNumId w:val="11"/>
  </w:num>
  <w:num w:numId="32">
    <w:abstractNumId w:val="3"/>
  </w:num>
  <w:num w:numId="33">
    <w:abstractNumId w:val="1"/>
  </w:num>
  <w:num w:numId="34">
    <w:abstractNumId w:val="2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 w:default="1">
    <w:name w:val="Normal"/>
    <w:qFormat/>
    <w:pPr>
      <w:pBdr/>
      <w:spacing w:after="200" w:line="276" w:lineRule="auto"/>
      <w:ind/>
    </w:pPr>
    <w:rPr>
      <w:rFonts w:ascii="Calibri" w:hAnsi="Calibri" w:cs="Calibri"/>
      <w:sz w:val="22"/>
      <w:szCs w:val="22"/>
      <w:lang w:eastAsia="en-US"/>
    </w:rPr>
  </w:style>
  <w:style w:type="paragraph" w:styleId="771">
    <w:name w:val="Heading 1"/>
    <w:basedOn w:val="770"/>
    <w:next w:val="770"/>
    <w:link w:val="86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2">
    <w:name w:val="Heading 2"/>
    <w:basedOn w:val="770"/>
    <w:next w:val="770"/>
    <w:link w:val="86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73">
    <w:name w:val="Heading 3"/>
    <w:basedOn w:val="770"/>
    <w:next w:val="770"/>
    <w:link w:val="868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4">
    <w:name w:val="Heading 4"/>
    <w:basedOn w:val="770"/>
    <w:next w:val="770"/>
    <w:link w:val="86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770"/>
    <w:next w:val="770"/>
    <w:link w:val="870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770"/>
    <w:next w:val="770"/>
    <w:link w:val="87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77">
    <w:name w:val="Heading 7"/>
    <w:basedOn w:val="770"/>
    <w:next w:val="770"/>
    <w:link w:val="87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8">
    <w:name w:val="Heading 8"/>
    <w:basedOn w:val="770"/>
    <w:next w:val="770"/>
    <w:link w:val="87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79">
    <w:name w:val="Heading 9"/>
    <w:basedOn w:val="770"/>
    <w:next w:val="770"/>
    <w:link w:val="87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 w:default="1">
    <w:name w:val="Default Paragraph Font"/>
    <w:uiPriority w:val="1"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table" w:styleId="783" w:customStyle="1">
    <w:name w:val="Table Grid Light"/>
    <w:basedOn w:val="78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2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3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4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5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6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1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2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3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4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5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6"/>
    <w:basedOn w:val="78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1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2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3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4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5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6"/>
    <w:basedOn w:val="781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1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2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3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4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5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6"/>
    <w:basedOn w:val="78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1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2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3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4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5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6"/>
    <w:basedOn w:val="78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Intense Emphasis"/>
    <w:basedOn w:val="78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42">
    <w:name w:val="Intense Reference"/>
    <w:basedOn w:val="78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43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845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6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7">
    <w:name w:val="FollowedHyperlink"/>
    <w:basedOn w:val="78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48">
    <w:name w:val="Placeholder Text"/>
    <w:basedOn w:val="780"/>
    <w:uiPriority w:val="99"/>
    <w:semiHidden/>
    <w:pPr>
      <w:pBdr/>
      <w:spacing/>
      <w:ind/>
    </w:pPr>
    <w:rPr>
      <w:color w:val="666666"/>
    </w:rPr>
  </w:style>
  <w:style w:type="character" w:styleId="849" w:customStyle="1">
    <w:name w:val="Heading 1 Char"/>
    <w:basedOn w:val="7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0" w:customStyle="1">
    <w:name w:val="Heading 2 Char"/>
    <w:basedOn w:val="78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1" w:customStyle="1">
    <w:name w:val="Heading 3 Char"/>
    <w:basedOn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2" w:customStyle="1">
    <w:name w:val="Heading 4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3" w:customStyle="1">
    <w:name w:val="Heading 5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4" w:customStyle="1">
    <w:name w:val="Heading 6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5" w:customStyle="1">
    <w:name w:val="Heading 7 Char"/>
    <w:basedOn w:val="78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6" w:customStyle="1">
    <w:name w:val="Heading 8 Char"/>
    <w:basedOn w:val="7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7" w:customStyle="1">
    <w:name w:val="Heading 9 Char"/>
    <w:basedOn w:val="7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58" w:customStyle="1">
    <w:name w:val="Title Char"/>
    <w:basedOn w:val="780"/>
    <w:uiPriority w:val="10"/>
    <w:pPr>
      <w:pBdr/>
      <w:spacing/>
      <w:ind/>
    </w:pPr>
    <w:rPr>
      <w:sz w:val="48"/>
      <w:szCs w:val="48"/>
    </w:rPr>
  </w:style>
  <w:style w:type="character" w:styleId="859" w:customStyle="1">
    <w:name w:val="Subtitle Char"/>
    <w:basedOn w:val="780"/>
    <w:uiPriority w:val="11"/>
    <w:pPr>
      <w:pBdr/>
      <w:spacing/>
      <w:ind/>
    </w:pPr>
    <w:rPr>
      <w:sz w:val="24"/>
      <w:szCs w:val="24"/>
    </w:rPr>
  </w:style>
  <w:style w:type="character" w:styleId="860" w:customStyle="1">
    <w:name w:val="Quote Char"/>
    <w:uiPriority w:val="29"/>
    <w:pPr>
      <w:pBdr/>
      <w:spacing/>
      <w:ind/>
    </w:pPr>
    <w:rPr>
      <w:i/>
    </w:rPr>
  </w:style>
  <w:style w:type="character" w:styleId="861" w:customStyle="1">
    <w:name w:val="Intense Quote Char"/>
    <w:uiPriority w:val="30"/>
    <w:pPr>
      <w:pBdr/>
      <w:spacing/>
      <w:ind/>
    </w:pPr>
    <w:rPr>
      <w:i/>
    </w:rPr>
  </w:style>
  <w:style w:type="character" w:styleId="862" w:customStyle="1">
    <w:name w:val="Header Char"/>
    <w:basedOn w:val="780"/>
    <w:uiPriority w:val="99"/>
    <w:pPr>
      <w:pBdr/>
      <w:spacing/>
      <w:ind/>
    </w:pPr>
  </w:style>
  <w:style w:type="character" w:styleId="863" w:customStyle="1">
    <w:name w:val="Caption Char"/>
    <w:uiPriority w:val="99"/>
    <w:pPr>
      <w:pBdr/>
      <w:spacing/>
      <w:ind/>
    </w:pPr>
  </w:style>
  <w:style w:type="character" w:styleId="864" w:customStyle="1">
    <w:name w:val="Footnote Text Char"/>
    <w:uiPriority w:val="99"/>
    <w:pPr>
      <w:pBdr/>
      <w:spacing/>
      <w:ind/>
    </w:pPr>
    <w:rPr>
      <w:sz w:val="18"/>
    </w:rPr>
  </w:style>
  <w:style w:type="character" w:styleId="865" w:customStyle="1">
    <w:name w:val="Endnote Text Char"/>
    <w:uiPriority w:val="99"/>
    <w:pPr>
      <w:pBdr/>
      <w:spacing/>
      <w:ind/>
    </w:pPr>
    <w:rPr>
      <w:sz w:val="20"/>
    </w:rPr>
  </w:style>
  <w:style w:type="character" w:styleId="866" w:customStyle="1">
    <w:name w:val="Nadpis 1 Char"/>
    <w:link w:val="7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7" w:customStyle="1">
    <w:name w:val="Nadpis 2 Char"/>
    <w:link w:val="77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8" w:customStyle="1">
    <w:name w:val="Nadpis 3 Char"/>
    <w:link w:val="77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9" w:customStyle="1">
    <w:name w:val="Nadpis 4 Char"/>
    <w:link w:val="7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0" w:customStyle="1">
    <w:name w:val="Nadpis 5 Char"/>
    <w:link w:val="7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1" w:customStyle="1">
    <w:name w:val="Nadpis 6 Char"/>
    <w:link w:val="7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2" w:customStyle="1">
    <w:name w:val="Nadpis 7 Char"/>
    <w:link w:val="7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3" w:customStyle="1">
    <w:name w:val="Nadpis 8 Char"/>
    <w:link w:val="7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4" w:customStyle="1">
    <w:name w:val="Nadpis 9 Char"/>
    <w:link w:val="7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5">
    <w:name w:val="No Spacing"/>
    <w:uiPriority w:val="1"/>
    <w:qFormat/>
    <w:pPr>
      <w:pBdr/>
      <w:spacing/>
      <w:ind/>
    </w:pPr>
  </w:style>
  <w:style w:type="paragraph" w:styleId="876">
    <w:name w:val="Title"/>
    <w:basedOn w:val="770"/>
    <w:next w:val="770"/>
    <w:link w:val="877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77" w:customStyle="1">
    <w:name w:val="Název Char"/>
    <w:link w:val="876"/>
    <w:uiPriority w:val="10"/>
    <w:pPr>
      <w:pBdr/>
      <w:spacing/>
      <w:ind/>
    </w:pPr>
    <w:rPr>
      <w:sz w:val="48"/>
      <w:szCs w:val="48"/>
    </w:rPr>
  </w:style>
  <w:style w:type="paragraph" w:styleId="878">
    <w:name w:val="Subtitle"/>
    <w:basedOn w:val="770"/>
    <w:next w:val="770"/>
    <w:link w:val="879"/>
    <w:uiPriority w:val="11"/>
    <w:qFormat/>
    <w:pPr>
      <w:pBdr/>
      <w:spacing w:before="200"/>
      <w:ind/>
    </w:pPr>
    <w:rPr>
      <w:sz w:val="24"/>
      <w:szCs w:val="24"/>
    </w:rPr>
  </w:style>
  <w:style w:type="character" w:styleId="879" w:customStyle="1">
    <w:name w:val="Podnadpis Char"/>
    <w:link w:val="878"/>
    <w:uiPriority w:val="11"/>
    <w:pPr>
      <w:pBdr/>
      <w:spacing/>
      <w:ind/>
    </w:pPr>
    <w:rPr>
      <w:sz w:val="24"/>
      <w:szCs w:val="24"/>
    </w:rPr>
  </w:style>
  <w:style w:type="paragraph" w:styleId="880">
    <w:name w:val="Quote"/>
    <w:basedOn w:val="770"/>
    <w:next w:val="770"/>
    <w:link w:val="881"/>
    <w:uiPriority w:val="29"/>
    <w:qFormat/>
    <w:pPr>
      <w:pBdr/>
      <w:spacing/>
      <w:ind w:right="720" w:left="720"/>
    </w:pPr>
    <w:rPr>
      <w:i/>
    </w:rPr>
  </w:style>
  <w:style w:type="character" w:styleId="881" w:customStyle="1">
    <w:name w:val="Citát Char"/>
    <w:link w:val="880"/>
    <w:uiPriority w:val="29"/>
    <w:pPr>
      <w:pBdr/>
      <w:spacing/>
      <w:ind/>
    </w:pPr>
    <w:rPr>
      <w:i/>
    </w:rPr>
  </w:style>
  <w:style w:type="paragraph" w:styleId="882">
    <w:name w:val="Intense Quote"/>
    <w:basedOn w:val="770"/>
    <w:next w:val="770"/>
    <w:link w:val="8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3" w:customStyle="1">
    <w:name w:val="Výrazný citát Char"/>
    <w:link w:val="882"/>
    <w:uiPriority w:val="30"/>
    <w:pPr>
      <w:pBdr/>
      <w:spacing/>
      <w:ind/>
    </w:pPr>
    <w:rPr>
      <w:i/>
    </w:rPr>
  </w:style>
  <w:style w:type="paragraph" w:styleId="884">
    <w:name w:val="Header"/>
    <w:basedOn w:val="770"/>
    <w:link w:val="8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5" w:customStyle="1">
    <w:name w:val="Záhlaví Char"/>
    <w:link w:val="884"/>
    <w:uiPriority w:val="99"/>
    <w:pPr>
      <w:pBdr/>
      <w:spacing/>
      <w:ind/>
    </w:pPr>
  </w:style>
  <w:style w:type="paragraph" w:styleId="886">
    <w:name w:val="Footer"/>
    <w:basedOn w:val="770"/>
    <w:link w:val="8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7" w:customStyle="1">
    <w:name w:val="Footer Char"/>
    <w:uiPriority w:val="99"/>
    <w:pPr>
      <w:pBdr/>
      <w:spacing/>
      <w:ind/>
    </w:pPr>
  </w:style>
  <w:style w:type="paragraph" w:styleId="888">
    <w:name w:val="Caption"/>
    <w:basedOn w:val="770"/>
    <w:next w:val="770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89" w:customStyle="1">
    <w:name w:val="Zápatí Char"/>
    <w:link w:val="886"/>
    <w:uiPriority w:val="99"/>
    <w:pPr>
      <w:pBdr/>
      <w:spacing/>
      <w:ind/>
    </w:pPr>
  </w:style>
  <w:style w:type="table" w:styleId="890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Table Grid Light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Plain Table 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Plain Table 2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1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1 Light - Accent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1 Light - Accent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1 Light - Accent 6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1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2 - Accent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2 - Accent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2 - Accent 6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1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3 - Accent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3 - Accent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3 - Accent 6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1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2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4 - Accent 3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4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4 - Accent 5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4 - Accent 6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 - Accent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5 Dark - Accent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5 Dark - Accent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5 Dark - Accent 6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1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1 Light - Accent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1 Light - Accent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1 Light - Accent 6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1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2 - Accent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2 - Accent 6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1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3 - Accent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3 - Accent 6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1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4 - Accent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4 - Accent 6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1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5 Dark - Accent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5 Dark - Accent 6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1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2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3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4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5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6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1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2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 3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4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5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 - Accent 6"/>
    <w:uiPriority w:val="99"/>
    <w:pPr>
      <w:pBdr/>
      <w:spacing/>
      <w:ind/>
    </w:pPr>
    <w:rPr>
      <w:color w:val="404040"/>
      <w:lang w:eastAsia="cs-CZ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17">
    <w:name w:val="footnote text"/>
    <w:basedOn w:val="770"/>
    <w:link w:val="10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18" w:customStyle="1">
    <w:name w:val="Text pozn. pod čarou Char"/>
    <w:link w:val="1017"/>
    <w:uiPriority w:val="99"/>
    <w:pPr>
      <w:pBdr/>
      <w:spacing/>
      <w:ind/>
    </w:pPr>
    <w:rPr>
      <w:sz w:val="18"/>
    </w:rPr>
  </w:style>
  <w:style w:type="character" w:styleId="10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20">
    <w:name w:val="endnote text"/>
    <w:basedOn w:val="770"/>
    <w:link w:val="10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21" w:customStyle="1">
    <w:name w:val="Text vysvětlivek Char"/>
    <w:link w:val="1020"/>
    <w:uiPriority w:val="99"/>
    <w:pPr>
      <w:pBdr/>
      <w:spacing/>
      <w:ind/>
    </w:pPr>
    <w:rPr>
      <w:sz w:val="20"/>
    </w:rPr>
  </w:style>
  <w:style w:type="character" w:styleId="10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023">
    <w:name w:val="toc 1"/>
    <w:basedOn w:val="770"/>
    <w:next w:val="770"/>
    <w:uiPriority w:val="39"/>
    <w:unhideWhenUsed/>
    <w:pPr>
      <w:pBdr/>
      <w:spacing w:after="57"/>
      <w:ind/>
    </w:pPr>
  </w:style>
  <w:style w:type="paragraph" w:styleId="1024">
    <w:name w:val="toc 2"/>
    <w:basedOn w:val="770"/>
    <w:next w:val="770"/>
    <w:uiPriority w:val="39"/>
    <w:unhideWhenUsed/>
    <w:pPr>
      <w:pBdr/>
      <w:spacing w:after="57"/>
      <w:ind w:left="283"/>
    </w:pPr>
  </w:style>
  <w:style w:type="paragraph" w:styleId="1025">
    <w:name w:val="toc 3"/>
    <w:basedOn w:val="770"/>
    <w:next w:val="770"/>
    <w:uiPriority w:val="39"/>
    <w:unhideWhenUsed/>
    <w:pPr>
      <w:pBdr/>
      <w:spacing w:after="57"/>
      <w:ind w:left="567"/>
    </w:pPr>
  </w:style>
  <w:style w:type="paragraph" w:styleId="1026">
    <w:name w:val="toc 4"/>
    <w:basedOn w:val="770"/>
    <w:next w:val="770"/>
    <w:uiPriority w:val="39"/>
    <w:unhideWhenUsed/>
    <w:pPr>
      <w:pBdr/>
      <w:spacing w:after="57"/>
      <w:ind w:left="850"/>
    </w:pPr>
  </w:style>
  <w:style w:type="paragraph" w:styleId="1027">
    <w:name w:val="toc 5"/>
    <w:basedOn w:val="770"/>
    <w:next w:val="770"/>
    <w:uiPriority w:val="39"/>
    <w:unhideWhenUsed/>
    <w:pPr>
      <w:pBdr/>
      <w:spacing w:after="57"/>
      <w:ind w:left="1134"/>
    </w:pPr>
  </w:style>
  <w:style w:type="paragraph" w:styleId="1028">
    <w:name w:val="toc 6"/>
    <w:basedOn w:val="770"/>
    <w:next w:val="770"/>
    <w:uiPriority w:val="39"/>
    <w:unhideWhenUsed/>
    <w:pPr>
      <w:pBdr/>
      <w:spacing w:after="57"/>
      <w:ind w:left="1417"/>
    </w:pPr>
  </w:style>
  <w:style w:type="paragraph" w:styleId="1029">
    <w:name w:val="toc 7"/>
    <w:basedOn w:val="770"/>
    <w:next w:val="770"/>
    <w:uiPriority w:val="39"/>
    <w:unhideWhenUsed/>
    <w:pPr>
      <w:pBdr/>
      <w:spacing w:after="57"/>
      <w:ind w:left="1701"/>
    </w:pPr>
  </w:style>
  <w:style w:type="paragraph" w:styleId="1030">
    <w:name w:val="toc 8"/>
    <w:basedOn w:val="770"/>
    <w:next w:val="770"/>
    <w:uiPriority w:val="39"/>
    <w:unhideWhenUsed/>
    <w:pPr>
      <w:pBdr/>
      <w:spacing w:after="57"/>
      <w:ind w:left="1984"/>
    </w:pPr>
  </w:style>
  <w:style w:type="paragraph" w:styleId="1031">
    <w:name w:val="toc 9"/>
    <w:basedOn w:val="770"/>
    <w:next w:val="770"/>
    <w:uiPriority w:val="39"/>
    <w:unhideWhenUsed/>
    <w:pPr>
      <w:pBdr/>
      <w:spacing w:after="57"/>
      <w:ind w:left="2268"/>
    </w:pPr>
  </w:style>
  <w:style w:type="paragraph" w:styleId="1032">
    <w:name w:val="TOC Heading"/>
    <w:uiPriority w:val="39"/>
    <w:unhideWhenUsed/>
    <w:pPr>
      <w:pBdr/>
      <w:spacing/>
      <w:ind/>
    </w:pPr>
  </w:style>
  <w:style w:type="paragraph" w:styleId="1033">
    <w:name w:val="table of figures"/>
    <w:basedOn w:val="770"/>
    <w:next w:val="770"/>
    <w:uiPriority w:val="99"/>
    <w:unhideWhenUsed/>
    <w:pPr>
      <w:pBdr/>
      <w:spacing w:after="0"/>
      <w:ind/>
    </w:pPr>
  </w:style>
  <w:style w:type="paragraph" w:styleId="1034">
    <w:name w:val="List Paragraph"/>
    <w:basedOn w:val="770"/>
    <w:uiPriority w:val="34"/>
    <w:qFormat/>
    <w:pPr>
      <w:pBdr/>
      <w:spacing/>
      <w:ind w:left="720"/>
    </w:pPr>
  </w:style>
  <w:style w:type="character" w:styleId="1035" w:customStyle="1">
    <w:name w:val="Nevyřešená zmínka1"/>
    <w:basedOn w:val="78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36">
    <w:name w:val="Normal (Web)"/>
    <w:basedOn w:val="77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eastAsia="cs-CZ"/>
    </w:rPr>
  </w:style>
  <w:style w:type="character" w:styleId="1037">
    <w:name w:val="Strong"/>
    <w:basedOn w:val="780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výboru VO Bohemians Praha 9</dc:title>
  <dc:creator>Bohemka</dc:creator>
  <cp:lastModifiedBy>Anonymous</cp:lastModifiedBy>
  <cp:revision>13</cp:revision>
  <dcterms:created xsi:type="dcterms:W3CDTF">2026-01-07T11:18:00Z</dcterms:created>
  <dcterms:modified xsi:type="dcterms:W3CDTF">2026-01-23T10:45:19Z</dcterms:modified>
  <cp:version>1048576</cp:version>
</cp:coreProperties>
</file>